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rPr>
          <w:rFonts w:hint="eastAsia" w:ascii="微软雅黑" w:hAnsi="微软雅黑" w:eastAsia="微软雅黑" w:cs="微软雅黑"/>
          <w:b/>
          <w:bCs/>
          <w:i w:val="0"/>
          <w:iCs w:val="0"/>
          <w:caps w:val="0"/>
          <w:color w:val="4D4F53"/>
          <w:spacing w:val="0"/>
          <w:sz w:val="24"/>
          <w:szCs w:val="24"/>
        </w:rPr>
      </w:pPr>
      <w:r>
        <w:rPr>
          <w:rFonts w:hint="eastAsia" w:ascii="微软雅黑" w:hAnsi="微软雅黑" w:eastAsia="微软雅黑" w:cs="微软雅黑"/>
          <w:b/>
          <w:bCs/>
          <w:i w:val="0"/>
          <w:iCs w:val="0"/>
          <w:caps w:val="0"/>
          <w:color w:val="4D4F53"/>
          <w:spacing w:val="0"/>
          <w:sz w:val="24"/>
          <w:szCs w:val="24"/>
          <w:bdr w:val="none" w:color="auto" w:sz="0" w:space="0"/>
        </w:rPr>
        <w:t>中盐化工：20.22亿元定增出炉</w:t>
      </w:r>
      <w:r>
        <w:rPr>
          <w:rFonts w:hint="eastAsia" w:ascii="微软雅黑" w:hAnsi="微软雅黑" w:eastAsia="微软雅黑" w:cs="微软雅黑"/>
          <w:b/>
          <w:bCs/>
          <w:i w:val="0"/>
          <w:iCs w:val="0"/>
          <w:caps w:val="0"/>
          <w:color w:val="4D4F53"/>
          <w:spacing w:val="0"/>
          <w:sz w:val="24"/>
          <w:szCs w:val="24"/>
          <w:bdr w:val="none" w:color="auto" w:sz="0" w:space="0"/>
          <w:lang w:val="en-US" w:eastAsia="zh-CN"/>
        </w:rPr>
        <w:t xml:space="preserve">  </w:t>
      </w:r>
      <w:r>
        <w:rPr>
          <w:rFonts w:hint="eastAsia" w:ascii="微软雅黑" w:hAnsi="微软雅黑" w:eastAsia="微软雅黑" w:cs="微软雅黑"/>
          <w:b/>
          <w:bCs/>
          <w:i w:val="0"/>
          <w:iCs w:val="0"/>
          <w:caps w:val="0"/>
          <w:color w:val="4D4F53"/>
          <w:spacing w:val="0"/>
          <w:sz w:val="24"/>
          <w:szCs w:val="24"/>
          <w:bdr w:val="none" w:color="auto" w:sz="0" w:space="0"/>
        </w:rPr>
        <w:t>诺德基金、财通基金、UBS AG等在列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4"/>
          <w:szCs w:val="24"/>
          <w:bdr w:val="none" w:color="auto" w:sz="0" w:space="0"/>
        </w:rPr>
      </w:pPr>
      <w:r>
        <w:rPr>
          <w:rFonts w:hint="eastAsia" w:ascii="微软雅黑" w:hAnsi="微软雅黑" w:eastAsia="微软雅黑" w:cs="微软雅黑"/>
          <w:i w:val="0"/>
          <w:iCs w:val="0"/>
          <w:caps w:val="0"/>
          <w:color w:val="4D4F53"/>
          <w:spacing w:val="0"/>
          <w:sz w:val="24"/>
          <w:szCs w:val="24"/>
          <w:bdr w:val="none" w:color="auto" w:sz="0" w:space="0"/>
        </w:rPr>
        <w:t>中盐化工11月22日披露定增结果，确定此次发行价格为12.51元/股，发行股数约为1.62亿股，募资总额约为20.22亿元；发行对象最终确定为24名，锁定期为6个月；国企结构调整基金获配5亿元，诺德基金、财通基金、UBS AG等在列。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4"/>
          <w:szCs w:val="24"/>
          <w:bdr w:val="none" w:color="auto" w:sz="0" w:space="0"/>
        </w:rPr>
      </w:pPr>
      <w:r>
        <w:rPr>
          <w:rFonts w:hint="eastAsia" w:ascii="微软雅黑" w:hAnsi="微软雅黑" w:eastAsia="微软雅黑" w:cs="微软雅黑"/>
          <w:i w:val="0"/>
          <w:iCs w:val="0"/>
          <w:caps w:val="0"/>
          <w:color w:val="4D4F53"/>
          <w:spacing w:val="0"/>
          <w:kern w:val="0"/>
          <w:sz w:val="24"/>
          <w:szCs w:val="24"/>
          <w:lang w:val="en-US" w:eastAsia="zh-CN" w:bidi="ar"/>
        </w:rPr>
        <w:drawing>
          <wp:inline distT="0" distB="0" distL="114300" distR="114300">
            <wp:extent cx="5295900" cy="57531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95900" cy="57531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720" w:firstLineChars="300"/>
        <w:rPr>
          <w:rFonts w:hint="eastAsia" w:ascii="微软雅黑" w:hAnsi="微软雅黑" w:eastAsia="微软雅黑" w:cs="微软雅黑"/>
          <w:i w:val="0"/>
          <w:iCs w:val="0"/>
          <w:caps w:val="0"/>
          <w:color w:val="4D4F53"/>
          <w:spacing w:val="0"/>
          <w:sz w:val="24"/>
          <w:szCs w:val="24"/>
          <w:bdr w:val="none" w:color="auto" w:sz="0" w:space="0"/>
        </w:rPr>
      </w:pPr>
      <w:r>
        <w:rPr>
          <w:rFonts w:hint="eastAsia" w:ascii="微软雅黑" w:hAnsi="微软雅黑" w:eastAsia="微软雅黑" w:cs="微软雅黑"/>
          <w:i w:val="0"/>
          <w:iCs w:val="0"/>
          <w:caps w:val="0"/>
          <w:color w:val="4D4F53"/>
          <w:spacing w:val="0"/>
          <w:sz w:val="24"/>
          <w:szCs w:val="24"/>
          <w:bdr w:val="none" w:color="auto" w:sz="0" w:space="0"/>
        </w:rPr>
        <w:t>中盐内蒙古化工股份有限公司是一家集盐、盐化工、医药健康产品等生产及销售为一体的综合性企业，公司主营业务为以精制盐、工业盐等为代表的盐产品；以金属钠、氯酸钠等为代表的精细化工产品；以纯碱为代表的基础化工产品；以苁蓉益肾颗粒、复方甘草片、维蜂盐藻等为代表的医药保健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4"/>
          <w:szCs w:val="24"/>
          <w:bdr w:val="none" w:color="auto" w:sz="0" w:space="0"/>
        </w:rPr>
      </w:pPr>
      <w:r>
        <w:rPr>
          <w:rFonts w:hint="eastAsia" w:ascii="微软雅黑" w:hAnsi="微软雅黑" w:eastAsia="微软雅黑" w:cs="微软雅黑"/>
          <w:i w:val="0"/>
          <w:iCs w:val="0"/>
          <w:caps w:val="0"/>
          <w:color w:val="4D4F53"/>
          <w:spacing w:val="0"/>
          <w:sz w:val="24"/>
          <w:szCs w:val="24"/>
          <w:bdr w:val="none" w:color="auto" w:sz="0" w:space="0"/>
        </w:rPr>
        <w:t>中盐化工是一家拥有资源优势、区位优势、技术优势、管理优势的跨地区、跨行业的大型企业集团，是中国化工企业500强、国家知识产权优势企业、中国化工最具发展潜力的上市公司、内蒙古自治区循环经济试点企业，拥有全国文明单位等国家、自治区级多项荣誉称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b/>
          <w:bCs/>
          <w:i w:val="0"/>
          <w:iCs w:val="0"/>
          <w:caps w:val="0"/>
          <w:color w:val="4D4F53"/>
          <w:spacing w:val="0"/>
          <w:sz w:val="24"/>
          <w:szCs w:val="24"/>
          <w:bdr w:val="none" w:color="auto" w:sz="0" w:space="0"/>
        </w:rPr>
      </w:pPr>
      <w:r>
        <w:rPr>
          <w:rFonts w:hint="eastAsia" w:ascii="微软雅黑" w:hAnsi="微软雅黑" w:eastAsia="微软雅黑" w:cs="微软雅黑"/>
          <w:b/>
          <w:bCs/>
          <w:i w:val="0"/>
          <w:iCs w:val="0"/>
          <w:caps w:val="0"/>
          <w:color w:val="4D4F53"/>
          <w:spacing w:val="0"/>
          <w:sz w:val="24"/>
          <w:szCs w:val="24"/>
          <w:bdr w:val="none" w:color="auto" w:sz="0" w:space="0"/>
        </w:rPr>
        <w:t>中盐化工</w:t>
      </w:r>
      <w:r>
        <w:rPr>
          <w:rFonts w:hint="eastAsia" w:ascii="微软雅黑" w:hAnsi="微软雅黑" w:eastAsia="微软雅黑" w:cs="微软雅黑"/>
          <w:b/>
          <w:bCs/>
          <w:i w:val="0"/>
          <w:iCs w:val="0"/>
          <w:caps w:val="0"/>
          <w:color w:val="4D4F53"/>
          <w:spacing w:val="0"/>
          <w:sz w:val="24"/>
          <w:szCs w:val="24"/>
          <w:bdr w:val="none" w:color="auto" w:sz="0" w:space="0"/>
          <w:lang w:val="en-US" w:eastAsia="zh-CN"/>
        </w:rPr>
        <w:t>竞争力</w:t>
      </w:r>
      <w:r>
        <w:rPr>
          <w:rFonts w:hint="eastAsia" w:ascii="微软雅黑" w:hAnsi="微软雅黑" w:eastAsia="微软雅黑" w:cs="微软雅黑"/>
          <w:b/>
          <w:bCs/>
          <w:i w:val="0"/>
          <w:iCs w:val="0"/>
          <w:caps w:val="0"/>
          <w:color w:val="4D4F53"/>
          <w:spacing w:val="0"/>
          <w:sz w:val="24"/>
          <w:szCs w:val="24"/>
        </w:rPr>
        <w:t>分析</w:t>
      </w:r>
      <w:r>
        <w:rPr>
          <w:rFonts w:hint="eastAsia" w:ascii="微软雅黑" w:hAnsi="微软雅黑" w:eastAsia="微软雅黑" w:cs="微软雅黑"/>
          <w:b/>
          <w:bCs/>
          <w:i w:val="0"/>
          <w:iCs w:val="0"/>
          <w:caps w:val="0"/>
          <w:color w:val="4D4F53"/>
          <w:spacing w:val="0"/>
          <w:sz w:val="24"/>
          <w:szCs w:val="24"/>
          <w:lang w:eastAsia="zh-CN"/>
        </w:rPr>
        <w:t>：</w:t>
      </w:r>
      <w:r>
        <w:rPr>
          <w:rFonts w:hint="eastAsia" w:ascii="微软雅黑" w:hAnsi="微软雅黑" w:eastAsia="微软雅黑" w:cs="微软雅黑"/>
          <w:b/>
          <w:bCs/>
          <w:i w:val="0"/>
          <w:iCs w:val="0"/>
          <w:caps w:val="0"/>
          <w:color w:val="4D4F53"/>
          <w:spacing w:val="0"/>
          <w:sz w:val="24"/>
          <w:szCs w:val="24"/>
          <w:bdr w:val="none" w:color="auto" w:sz="0" w:space="0"/>
        </w:rPr>
        <w:t>“资源+品牌+技术”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4"/>
          <w:szCs w:val="24"/>
          <w:bdr w:val="none" w:color="auto" w:sz="0" w:space="0"/>
        </w:rPr>
      </w:pPr>
      <w:r>
        <w:rPr>
          <w:rFonts w:hint="eastAsia" w:ascii="微软雅黑" w:hAnsi="微软雅黑" w:eastAsia="微软雅黑" w:cs="微软雅黑"/>
          <w:i w:val="0"/>
          <w:iCs w:val="0"/>
          <w:caps w:val="0"/>
          <w:color w:val="4D4F53"/>
          <w:spacing w:val="0"/>
          <w:sz w:val="24"/>
          <w:szCs w:val="24"/>
          <w:bdr w:val="none" w:color="auto" w:sz="0" w:space="0"/>
          <w:lang w:val="en-US" w:eastAsia="zh-CN"/>
        </w:rPr>
        <w:t>资源：</w:t>
      </w:r>
      <w:r>
        <w:rPr>
          <w:rFonts w:hint="eastAsia" w:ascii="微软雅黑" w:hAnsi="微软雅黑" w:eastAsia="微软雅黑" w:cs="微软雅黑"/>
          <w:i w:val="0"/>
          <w:iCs w:val="0"/>
          <w:caps w:val="0"/>
          <w:color w:val="4D4F53"/>
          <w:spacing w:val="0"/>
          <w:sz w:val="24"/>
          <w:szCs w:val="24"/>
          <w:bdr w:val="none" w:color="auto" w:sz="0" w:space="0"/>
        </w:rPr>
        <w:t>营业收入上，公司收入主要来源于盐产品、化工产品及医药保健产品等主要经营业务。公司拥有位于内蒙古阿拉善盟的吉兰泰盐湖的全部及位于青海省柴达木盆地的柯柯盐湖的部分资源，储量约2亿吨，为公司盐化工产业提供了原材料保证。同时，主要产品生产基地内蒙西部及青海德令哈地区煤炭、电力、石灰石资源丰富，为公司在盐化工产业的发展提供了优质可靠的资源保障，节省了一定的劳动力和能源成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4"/>
          <w:szCs w:val="24"/>
          <w:bdr w:val="none" w:color="auto" w:sz="0" w:space="0"/>
        </w:rPr>
      </w:pPr>
      <w:r>
        <w:rPr>
          <w:rFonts w:hint="eastAsia" w:ascii="微软雅黑" w:hAnsi="微软雅黑" w:eastAsia="微软雅黑" w:cs="微软雅黑"/>
          <w:i w:val="0"/>
          <w:iCs w:val="0"/>
          <w:caps w:val="0"/>
          <w:color w:val="4D4F53"/>
          <w:spacing w:val="0"/>
          <w:sz w:val="24"/>
          <w:szCs w:val="24"/>
          <w:bdr w:val="none" w:color="auto" w:sz="0" w:space="0"/>
        </w:rPr>
        <w:t>品牌优势：“银湖”牌精制盐、；“阿瑞美”牌食用纯碱、“国邦”牌金属钠、“昆仑雪”牌纯碱，这些家喻户晓的品牌都提升了公司的知名度，从而进一步扩大了公司产品的销售市场，增加公司的营收额。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4"/>
          <w:szCs w:val="24"/>
          <w:bdr w:val="none" w:color="auto" w:sz="0" w:space="0"/>
        </w:rPr>
      </w:pPr>
      <w:r>
        <w:rPr>
          <w:rFonts w:hint="eastAsia" w:ascii="微软雅黑" w:hAnsi="微软雅黑" w:eastAsia="微软雅黑" w:cs="微软雅黑"/>
          <w:i w:val="0"/>
          <w:iCs w:val="0"/>
          <w:caps w:val="0"/>
          <w:color w:val="4D4F53"/>
          <w:spacing w:val="0"/>
          <w:sz w:val="24"/>
          <w:szCs w:val="24"/>
          <w:bdr w:val="none" w:color="auto" w:sz="0" w:space="0"/>
        </w:rPr>
        <w:t>技术优势：公司的产品都是由国内国外顶尖的先进技术和关键设备机器生产的，例如“美国杜邦”、加拿大ERCO公司的成套工艺、离子膜电解工艺等，成熟可靠的生产工艺从而保证了公司产品质量的稳定，也使得公司产品在自主研发能力上不断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b/>
          <w:bCs/>
          <w:i w:val="0"/>
          <w:iCs w:val="0"/>
          <w:caps w:val="0"/>
          <w:color w:val="4D4F53"/>
          <w:spacing w:val="0"/>
          <w:sz w:val="24"/>
          <w:szCs w:val="24"/>
          <w:bdr w:val="none" w:color="auto" w:sz="0" w:space="0"/>
        </w:rPr>
      </w:pPr>
      <w:r>
        <w:rPr>
          <w:rFonts w:hint="eastAsia" w:ascii="微软雅黑" w:hAnsi="微软雅黑" w:eastAsia="微软雅黑" w:cs="微软雅黑"/>
          <w:b/>
          <w:bCs/>
          <w:i w:val="0"/>
          <w:iCs w:val="0"/>
          <w:caps w:val="0"/>
          <w:color w:val="4D4F53"/>
          <w:spacing w:val="0"/>
          <w:sz w:val="24"/>
          <w:szCs w:val="24"/>
          <w:bdr w:val="none" w:color="auto" w:sz="0" w:space="0"/>
        </w:rPr>
        <w:t>区位优势助力打造成本优势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4"/>
          <w:szCs w:val="24"/>
          <w:bdr w:val="none" w:color="auto" w:sz="0" w:space="0"/>
        </w:rPr>
      </w:pPr>
      <w:r>
        <w:rPr>
          <w:rFonts w:hint="eastAsia" w:ascii="微软雅黑" w:hAnsi="微软雅黑" w:eastAsia="微软雅黑" w:cs="微软雅黑"/>
          <w:i w:val="0"/>
          <w:iCs w:val="0"/>
          <w:caps w:val="0"/>
          <w:color w:val="4D4F53"/>
          <w:spacing w:val="0"/>
          <w:sz w:val="24"/>
          <w:szCs w:val="24"/>
          <w:bdr w:val="none" w:color="auto" w:sz="0" w:space="0"/>
        </w:rPr>
        <w:t>根据我们调研得到的情况，公司纯碱产能最大的子公司发投碱业和昆仑碱业均位于青海海西，以及纯碱分公司在内蒙古阿拉善盟的位置，两地的原盐、煤炭和石灰石资源储备都十分丰富，因此地理位置优势可为公司带来成本方面的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4"/>
          <w:szCs w:val="24"/>
          <w:bdr w:val="none" w:color="auto" w:sz="0" w:space="0"/>
        </w:rPr>
      </w:pPr>
      <w:r>
        <w:rPr>
          <w:rFonts w:hint="eastAsia" w:ascii="微软雅黑" w:hAnsi="微软雅黑" w:eastAsia="微软雅黑" w:cs="微软雅黑"/>
          <w:i w:val="0"/>
          <w:iCs w:val="0"/>
          <w:caps w:val="0"/>
          <w:color w:val="4D4F53"/>
          <w:spacing w:val="0"/>
          <w:sz w:val="24"/>
          <w:szCs w:val="24"/>
          <w:bdr w:val="none" w:color="auto" w:sz="0" w:space="0"/>
        </w:rPr>
        <w:t>同时，光伏产业的大发展以及基础设施的大幅投资，对纯碱需求的拉动也较为明显，也会影响到玻璃市场及纯碱需求。因而公司为了能够在纯碱业务上有更多的贡献量，使得未来纯碱能耗控制水平和成本管控优势得以继续提升，对公司进行了重组并购后管理、技术和人员等方面持续整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b/>
          <w:bCs/>
          <w:i w:val="0"/>
          <w:iCs w:val="0"/>
          <w:caps w:val="0"/>
          <w:color w:val="4D4F53"/>
          <w:spacing w:val="0"/>
          <w:sz w:val="24"/>
          <w:szCs w:val="24"/>
          <w:bdr w:val="none" w:color="auto" w:sz="0" w:space="0"/>
        </w:rPr>
      </w:pPr>
      <w:r>
        <w:rPr>
          <w:rFonts w:hint="eastAsia" w:ascii="微软雅黑" w:hAnsi="微软雅黑" w:eastAsia="微软雅黑" w:cs="微软雅黑"/>
          <w:b/>
          <w:bCs/>
          <w:i w:val="0"/>
          <w:iCs w:val="0"/>
          <w:caps w:val="0"/>
          <w:color w:val="4D4F53"/>
          <w:spacing w:val="0"/>
          <w:sz w:val="24"/>
          <w:szCs w:val="24"/>
          <w:bdr w:val="none" w:color="auto" w:sz="0" w:space="0"/>
        </w:rPr>
        <w:t>一季度业绩同比增长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4"/>
          <w:szCs w:val="24"/>
          <w:bdr w:val="none" w:color="auto" w:sz="0" w:space="0"/>
        </w:rPr>
      </w:pPr>
      <w:r>
        <w:rPr>
          <w:rFonts w:hint="eastAsia" w:ascii="微软雅黑" w:hAnsi="微软雅黑" w:eastAsia="微软雅黑" w:cs="微软雅黑"/>
          <w:i w:val="0"/>
          <w:iCs w:val="0"/>
          <w:caps w:val="0"/>
          <w:color w:val="4D4F53"/>
          <w:spacing w:val="0"/>
          <w:sz w:val="24"/>
          <w:szCs w:val="24"/>
          <w:bdr w:val="none" w:color="auto" w:sz="0" w:space="0"/>
        </w:rPr>
        <w:t>中盐化工(600328)发布2022年第一季度报告，公司报告期内营业收入44.12亿元，同比增长86.57%;归属于上市公司股东的净利润6.16亿元，同比增长141.48%;归属于上市公司股东的扣除非经常性损益的净利润6.09亿元，同比增长141.03%;基本每股收益0.6432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4"/>
          <w:szCs w:val="24"/>
          <w:bdr w:val="none" w:color="auto" w:sz="0" w:space="0"/>
        </w:rPr>
      </w:pPr>
      <w:r>
        <w:rPr>
          <w:rFonts w:hint="eastAsia" w:ascii="微软雅黑" w:hAnsi="微软雅黑" w:eastAsia="微软雅黑" w:cs="微软雅黑"/>
          <w:i w:val="0"/>
          <w:iCs w:val="0"/>
          <w:caps w:val="0"/>
          <w:color w:val="4D4F53"/>
          <w:spacing w:val="0"/>
          <w:sz w:val="24"/>
          <w:szCs w:val="24"/>
          <w:bdr w:val="none" w:color="auto" w:sz="0" w:space="0"/>
        </w:rPr>
        <w:t>业绩变动原因为：公司主营产品聚氯乙烯、糊树脂、纯碱等价格同比增长，使利润增加。另一方面由于产品供不应求，产品价格的上升也带来了毛利的提升，导致利润增加，甚至期间费用率的降低也对利润增长作用巨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4"/>
          <w:szCs w:val="24"/>
          <w:bdr w:val="none" w:color="auto" w:sz="0" w:space="0"/>
        </w:rPr>
      </w:pPr>
      <w:r>
        <w:rPr>
          <w:rFonts w:hint="eastAsia" w:ascii="微软雅黑" w:hAnsi="微软雅黑" w:eastAsia="微软雅黑" w:cs="微软雅黑"/>
          <w:i w:val="0"/>
          <w:iCs w:val="0"/>
          <w:caps w:val="0"/>
          <w:color w:val="4D4F53"/>
          <w:spacing w:val="0"/>
          <w:sz w:val="24"/>
          <w:szCs w:val="24"/>
          <w:bdr w:val="none" w:color="auto" w:sz="0" w:space="0"/>
        </w:rPr>
        <w:t>根据2022年一季报，我们对中盐化工的主要财务指标表现进行了总结分析：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4"/>
          <w:szCs w:val="24"/>
          <w:bdr w:val="none" w:color="auto" w:sz="0" w:space="0"/>
        </w:rPr>
      </w:pPr>
      <w:r>
        <w:rPr>
          <w:rFonts w:hint="eastAsia" w:ascii="微软雅黑" w:hAnsi="微软雅黑" w:eastAsia="微软雅黑" w:cs="微软雅黑"/>
          <w:i w:val="0"/>
          <w:iCs w:val="0"/>
          <w:caps w:val="0"/>
          <w:color w:val="4D4F53"/>
          <w:spacing w:val="0"/>
          <w:sz w:val="24"/>
          <w:szCs w:val="24"/>
          <w:bdr w:val="none" w:color="auto" w:sz="0" w:space="0"/>
        </w:rPr>
        <w:t>盈利能力：与去年一季报相比，中盐化工盈利能力明显改善。处于一年中高位。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4"/>
          <w:szCs w:val="24"/>
          <w:bdr w:val="none" w:color="auto" w:sz="0" w:space="0"/>
        </w:rPr>
      </w:pPr>
      <w:r>
        <w:rPr>
          <w:rFonts w:hint="eastAsia" w:ascii="微软雅黑" w:hAnsi="微软雅黑" w:eastAsia="微软雅黑" w:cs="微软雅黑"/>
          <w:i w:val="0"/>
          <w:iCs w:val="0"/>
          <w:caps w:val="0"/>
          <w:color w:val="4D4F53"/>
          <w:spacing w:val="0"/>
          <w:sz w:val="24"/>
          <w:szCs w:val="24"/>
          <w:bdr w:val="none" w:color="auto" w:sz="0" w:space="0"/>
        </w:rPr>
        <w:t>成长能力：与去年一季报相比，中盐化工成长能力明显改善。处于一年中高位。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4"/>
          <w:szCs w:val="24"/>
          <w:bdr w:val="none" w:color="auto" w:sz="0" w:space="0"/>
        </w:rPr>
      </w:pPr>
      <w:r>
        <w:rPr>
          <w:rFonts w:hint="eastAsia" w:ascii="微软雅黑" w:hAnsi="微软雅黑" w:eastAsia="微软雅黑" w:cs="微软雅黑"/>
          <w:i w:val="0"/>
          <w:iCs w:val="0"/>
          <w:caps w:val="0"/>
          <w:color w:val="4D4F53"/>
          <w:spacing w:val="0"/>
          <w:sz w:val="24"/>
          <w:szCs w:val="24"/>
          <w:bdr w:val="none" w:color="auto" w:sz="0" w:space="0"/>
        </w:rPr>
        <w:t>偿债能力：与去年一季报相比，中盐化工偿债能力明显改善。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4"/>
          <w:szCs w:val="24"/>
          <w:bdr w:val="none" w:color="auto" w:sz="0" w:space="0"/>
        </w:rPr>
      </w:pPr>
      <w:r>
        <w:rPr>
          <w:rFonts w:hint="eastAsia" w:ascii="微软雅黑" w:hAnsi="微软雅黑" w:eastAsia="微软雅黑" w:cs="微软雅黑"/>
          <w:i w:val="0"/>
          <w:iCs w:val="0"/>
          <w:caps w:val="0"/>
          <w:color w:val="4D4F53"/>
          <w:spacing w:val="0"/>
          <w:sz w:val="24"/>
          <w:szCs w:val="24"/>
          <w:bdr w:val="none" w:color="auto" w:sz="0" w:space="0"/>
        </w:rPr>
        <w:t>运营能力：与去年一季报相比，中盐化工运营能力明显改善。处于一年中高位。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4"/>
          <w:szCs w:val="24"/>
          <w:bdr w:val="none" w:color="auto" w:sz="0" w:space="0"/>
        </w:rPr>
      </w:pPr>
      <w:r>
        <w:rPr>
          <w:rFonts w:hint="eastAsia" w:ascii="微软雅黑" w:hAnsi="微软雅黑" w:eastAsia="微软雅黑" w:cs="微软雅黑"/>
          <w:i w:val="0"/>
          <w:iCs w:val="0"/>
          <w:caps w:val="0"/>
          <w:color w:val="4D4F53"/>
          <w:spacing w:val="0"/>
          <w:sz w:val="24"/>
          <w:szCs w:val="24"/>
          <w:bdr w:val="none" w:color="auto" w:sz="0" w:space="0"/>
        </w:rPr>
        <w:t>现金流：</w:t>
      </w:r>
      <w:bookmarkStart w:id="0" w:name="_GoBack"/>
      <w:bookmarkEnd w:id="0"/>
      <w:r>
        <w:rPr>
          <w:rFonts w:hint="eastAsia" w:ascii="微软雅黑" w:hAnsi="微软雅黑" w:eastAsia="微软雅黑" w:cs="微软雅黑"/>
          <w:i w:val="0"/>
          <w:iCs w:val="0"/>
          <w:caps w:val="0"/>
          <w:color w:val="4D4F53"/>
          <w:spacing w:val="0"/>
          <w:sz w:val="24"/>
          <w:szCs w:val="24"/>
          <w:bdr w:val="none" w:color="auto" w:sz="0" w:space="0"/>
        </w:rPr>
        <w:t>与去年一季报相比，中盐化工现金流能力有所加强。处于一年中高位。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4"/>
          <w:szCs w:val="24"/>
          <w:bdr w:val="none" w:color="auto" w:sz="0" w:space="0"/>
        </w:rPr>
      </w:pPr>
      <w:r>
        <w:rPr>
          <w:rFonts w:hint="eastAsia" w:ascii="微软雅黑" w:hAnsi="微软雅黑" w:eastAsia="微软雅黑" w:cs="微软雅黑"/>
          <w:i w:val="0"/>
          <w:iCs w:val="0"/>
          <w:caps w:val="0"/>
          <w:color w:val="4D4F53"/>
          <w:spacing w:val="0"/>
          <w:sz w:val="24"/>
          <w:szCs w:val="24"/>
          <w:bdr w:val="none" w:color="auto" w:sz="0" w:space="0"/>
        </w:rPr>
        <w:t>其中，公司现金回收质量较高，销售回款能力有较大削弱。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4D4F53"/>
          <w:spacing w:val="0"/>
          <w:sz w:val="24"/>
          <w:szCs w:val="24"/>
        </w:rPr>
      </w:pP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MjlkYTM0MjQ1NmE0ZWY0YzUwMzc4YWViZDYxNWIifQ=="/>
  </w:docVars>
  <w:rsids>
    <w:rsidRoot w:val="574B38A4"/>
    <w:rsid w:val="440A3726"/>
    <w:rsid w:val="574B3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1471</Words>
  <Characters>1551</Characters>
  <Lines>0</Lines>
  <Paragraphs>0</Paragraphs>
  <TotalTime>4</TotalTime>
  <ScaleCrop>false</ScaleCrop>
  <LinksUpToDate>false</LinksUpToDate>
  <CharactersWithSpaces>1555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2022-11-23T05:35:00Z</dcterms:created>
  <dc:creator>江红</dc:creator>
  <cp:lastModifiedBy>江红</cp:lastModifiedBy>
  <dcterms:modified xsi:type="dcterms:W3CDTF">2022-11-23T05:44:28Z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09A761B21CF84D198987DE96963C037D</vt:lpwstr>
  </property>
</Properties>
</file>