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新瀚新材前三季度业绩已超去年全年 现金流大幅增加 核心募投项目即将试产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中国上市公司网/文近日，新瀚新材(301076)正式发布了2022年三季度报。作为国内具备核心竞争力的特种化学品生产商和出口商，新瀚新材募投项目稳步推进，经营规模将进一步扩张。2022年，面对全球新冠疫情的冲击，以及环保监管的趋严，公司着力聚焦主业，紧盯下游客户需求，在特种工程塑料核心原料、光引发剂领域及化妆品原料领域，均实现了对主要客户的销售增长，今年前三季度实现营业收入2.77亿元，继续保持稳步增长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前三季度业绩已超去年全年 盈利水平稳步提升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10月25日晚，新瀚新材发布了2022年三季度报告。数据显示，今年前三季度，新瀚新材实现营业收入2.77亿元，同比增长17.23%，创历史同期新高;实现归母净利润7184万元，同比增长42.18%，营收和净利润皆呈现高速增长态势，前三季度净利润已超2021年全年，显示出公司主业成长性的韧劲较强。按单季度看，2022年第三季度，公司实现营业收入9450万元，同比大幅增长24.92%;实现净利润2206万元，同比增长36.16%，继续保持上半年的高增长势头。对此，公司三季报作了进一步阐述：利润增长主要原因是公司营业收入增加，毛利率稳中有升;另外，公司确认汇兑收益增加。与此同时，上市以来新瀚新材盈利能力也得到明显提升。报告期内，公司实现综合毛利率35.52%，与上年同期相比提升约1.24个百分点;公司实现净利率25.91%，同比增长4.55个百分点，多项数据显示出公司盈利水平稳步上升。公司各项资产质量也保持向好态势。报告期末，公司资产负债率仅为9.13%，比上年同期降低约3.59个百分点，负债水平保持低位。在公司经营性现金流方面，新瀚新材现金流持续呈现净流入趋势。报告期内，公司经营性现金流量净额为7678万元，与去年同期相比增加2941万元，同比大增62.09%，公司日常现金流长期保持充裕态势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研发投入大幅增长 核心项目即将试产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t>数据显示，2022年前三季度，公司研发投入1159万元，较上年同比增长59.05%，占营业收入比例4.18%。公司研发投入主要投入在新型催化剂在傅克反应中的应用、膜分离技术在VOCs治理方面的运用技术、DCS技术在傅克反应生产过程中的应用等项目。上述研发项目的顺利推进，将提升本质安全水平，提升自动化、智能化装备水平，并增加新的盈利增长点。除此之外，去年公司IPO募投项目“年产8000吨芳香酮及其配套项目”稳步推进，募投项目产能的逐步释放，将进一步提升公司在芳香酮领域的综合竞争力。据此前的调研记录显示，该项目目前处于试生产前的手续申请阶段。公司募投项目产能中，DFBP的设计产能2500吨/年，HAP的设计产能2000吨/年，其他产能主要用于生产光引发剂、医药中间体和农药中间体等。据悉，新瀚新材主营业务为芳香族酮类产品的研发、生产和销售，公司产品被广泛应用于特种工程塑料、光固化材料、化妆品及医药、农药等多个领域。公司所生产的DFBP主要用作特种工程塑料聚醚醚酮的单体;公司所生产的MBP、PBZ及ITF等光引发剂是光固化涂料和油墨的关键组成部分;公司所生产的HAP是新型功能性化妆品原料之一。公司客户覆盖索尔维、威格斯、赢创、艾坚蒙、德之馨及久日新材等国际知名化工集团或境内外上市公司。可以预见，公司年产8000吨芳香酮及其配套项目将进一步提升公司的综合实力与市场竞争力，进一步提升服务下游客户的能力，有利于公司的可持续发展。当前，PEEK国际市场迎来快速发展。根据某国际咨询公司预测，2017-2022年全球PEEK市场将继续以每年10.43%的年复合增长率发展。而PEEK的应用领域也从早期的军工领域，扩散到航空航天、汽车零部件、IT制造、医疗等民用领域。在工信部发布的《重点新材料首批次应用示范指导名录》中，已将PEEK作为先进化工材料中的工程塑料列出，并提倡PEEK在航空航天、环保及新能源汽车等领域的使用，随着国内外厂商的技术进步、政策的支持及应用领域的拓展，国内PEEK市场的增长率将显著高于全球市场。新瀚新材作为产品质量过硬、生产工艺成熟的原料供应商，或有望享受行业快速发展的红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4AE35F10"/>
    <w:rsid w:val="4AE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2022-11-24T12:14:00Z</dcterms:created>
  <dc:creator>江红</dc:creator>
  <cp:lastModifiedBy>江红</cp:lastModifiedBy>
  <dcterms:modified xsi:type="dcterms:W3CDTF">2022-11-24T12:24:37Z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870785E4BF68451290D77A17A12E108F</vt:lpwstr>
  </property>
</Properties>
</file>