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安踏、李宁、爱慕、医疗防护用品检测供应商天纺标 10月11日申购</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天纺标网上申购时间为2022年10月11日的9:15-11:30，13:00-15:00，发行代码为“889778”。天纺标发行价格为10元/股，发行市盈率为23.84倍。天纺标北交所IPO战投名单出炉，引入4家战投共拟认购260万股。其中，天津津智国有资本投资运营有限公司领投。公告显示，4家战投中，天津津智国有资本投资运营有限公司拟认购170万股，亿纳谱(天津)医疗科技有限公司拟认购40万股，常州市建筑科学研究院集团股份有限公司、丹桂顺资管拟分别认购30万股、20万股。</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天纺标是一家集检验检测及相关技术服务为一体的综合性第三方检验检测服务集团，业务范围涵盖消费品、医疗器械及工业品等行业。公司在消费品检验检测方面尤其是纺织服装检验检测方面具有竞争优势。公司拥有国家针织产品质量监督检验中心、国家服装质量监督检验中心(天津)两个国家级检测中心。天纺标在消费品检验检测方面，尤其是纺织服装、轻工羽绒、防护用品检验检测方面，天纺标竞争优势明显。天纺标的目标是成为国内领先、国际一流的综合性检验检测服务集团公司，满足客户的多样化检测服务需求。</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从2020年开始天纺标承担了很多口罩、防护服的检测业务，这两年特种纺织品和防护用品的检测量逐年增加，产业领域的新材料新科技不断涌现，在国家和协会的推动下，企业的科技创新层出不穷，天纺标的检测能力刚好契合了行业企业的科技认证和标准认证工作，2022年天纺标完成了针对婴儿尿裤、湿巾和女性卫生用品的产品检验检测扩项，扩大了公司的检测业务范围。天纺标依托天津总部及上海、广东、深圳子公司建立的核心销售、检验检测和技术服务网络，为公司超过1.2万名客户，提供检验检测及相关综合技术服务。公司致力于成为国内领先、国际一流的综合性检验检测服务集团公司，满足客户多样化的检测服务需求。</w:t>
      </w:r>
    </w:p>
    <w:p>
      <w:pPr>
        <w:rPr>
          <w:rFonts w:ascii="宋体" w:hAnsi="宋体" w:eastAsia="宋体" w:cs="宋体"/>
          <w:sz w:val="24"/>
          <w:szCs w:val="24"/>
          <w:bdr w:val="none" w:color="auto" w:sz="0" w:space="0"/>
        </w:rPr>
      </w:pPr>
      <w:bookmarkStart w:id="0" w:name="_GoBack"/>
      <w:bookmarkEnd w:id="0"/>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公司拥有安踏、李宁、爱慕、恒源祥、安莉芳、华歌尔、纳通医疗、美润医疗等一批具有行业影响力的品牌客户及天猫、抖音、京东等电商平台客户。天纺标积极主持、参与多项国家、行业标准和团体标准的制订修订，公司拥有国家针织产品质量监督检验中心、国家服装质量监督检验中心(天津)两个国家级检测中心。此外，公司与天津工业大学纺织学院、河北工业大学等国内著名科研院校签署了合作协议，合作开展技术研发。受益于近年来检测行业的迅猛发展，市场对检测服务需求持续增加，尤其是消费品检验检测需求呈现持续增长态势。</w:t>
      </w:r>
    </w:p>
    <w:p>
      <w:pPr>
        <w:rPr>
          <w:rFonts w:ascii="宋体" w:hAnsi="宋体" w:eastAsia="宋体" w:cs="宋体"/>
          <w:sz w:val="24"/>
          <w:szCs w:val="24"/>
          <w:bdr w:val="none" w:color="auto" w:sz="0" w:space="0"/>
        </w:rPr>
      </w:pPr>
    </w:p>
    <w:p>
      <w:r>
        <w:rPr>
          <w:rFonts w:ascii="宋体" w:hAnsi="宋体" w:eastAsia="宋体" w:cs="宋体"/>
          <w:sz w:val="24"/>
          <w:szCs w:val="24"/>
          <w:bdr w:val="none" w:color="auto" w:sz="0" w:space="0"/>
        </w:rPr>
        <w:t>最近三年2019年度、2020年度和2021年度报告期内，公司营业收入分别为1.17亿元、1.7亿元、1.56亿元，归属于母公司所有者的净利润分别为2180万元、5674万元、3695万元。2022年上半年，公司实现营业收入6375万元，净利润为1101万元，同比增长5.68%。天纺标本次拟向不特定合格投资者公开发行股票不超过1300万股(含本数，不含超额配售选择权)，募资约1.3亿元，用于检测服务能力提升项目、研发中心建设项目、补充流动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00270BE6"/>
    <w:rsid w:val="00270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2022-11-24T12:56:00Z</dcterms:created>
  <dc:creator>江红</dc:creator>
  <cp:lastModifiedBy>江红</cp:lastModifiedBy>
  <dcterms:modified xsi:type="dcterms:W3CDTF">2022-11-24T12:57:26Z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9A82019B46604AF8BD385EFFFAA67107</vt:lpwstr>
  </property>
</Properties>
</file>