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硅烷科技北交所今日涨幅第一</w:t>
      </w:r>
    </w:p>
    <w:p>
      <w:r>
        <w:rPr>
          <w:rFonts w:ascii="宋体" w:hAnsi="宋体" w:eastAsia="宋体" w:cs="宋体"/>
          <w:sz w:val="24"/>
          <w:szCs w:val="24"/>
          <w:bdr w:val="none" w:color="auto" w:sz="0" w:space="0"/>
        </w:rPr>
        <w:t>中国上市公司网/文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br w:type="textWrapping"/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t>硅烷科技今日高开高走大涨19.5%，最终以19.06收盘，盘中最高涨幅23%，北交所涨幅第一名，三天涨幅高达29.66%。目前已经突破9月28日上市以来最高价18.45元，后市值得持续期待。硅烷科技从事氢硅材料产品研发、生产、销售和技术服务，同时致力于服务新能源、新材料相关领域研发与生产，主要产品为氢气(工业/高纯氢)、电子级硅烷气。硅烷科技是电子特种气体和氢气双黄金业务驱动发展，硅烷科技核心产品电子级硅烷气是一种电子特种气体，主要由硅粉、氢气、四氯化硅、催化剂等经过各种反应蒸馏、提纯而得，属于国家大力支持发展的新材料。硅烷气纯度与技术成正比，纯度3N～4N称为工业级硅烷，纯度在6N以上的称为电子级硅烷气。硅烷科技的电子级硅烷气已经广泛应用于半导体、显示面板、光伏等下游行业。在光伏行业供应领域，硅烷科技目前已占据国内约37.95%的市场份额。2021年硅烷科技新增高纯氢气业务，到2021年7月已建成年产1,600万方高纯氢生产线。目前，公司的高纯氢下游已涵盖氢燃料、电力(用于发电机组冷却)、医药、半导体等多个行业，拓展未来响应政策发展的新兴产业，瞄准广阔市场，未来在新能源和下游新兴产业的发展驱动下，特种气体供给有望不断提高市场份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MjlkYTM0MjQ1NmE0ZWY0YzUwMzc4YWViZDYxNWIifQ=="/>
  </w:docVars>
  <w:rsids>
    <w:rsidRoot w:val="7BB732DE"/>
    <w:rsid w:val="7BB7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2022-11-24T12:46:00Z</dcterms:created>
  <dc:creator>江红</dc:creator>
  <cp:lastModifiedBy>江红</cp:lastModifiedBy>
  <dcterms:modified xsi:type="dcterms:W3CDTF">2022-11-24T12:47:37Z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7DE65820E51147BBA1991B3CA1929842</vt:lpwstr>
  </property>
</Properties>
</file>