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政策支持“危废”再利用产业发展 飞南资源坚持创新驱动抢占环保经济新蓝海</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近日，广东飞南资源利用股份有限公司(以下简称“飞南资源”)披露了IPO招股书，公司拟在深交所创业板上市，并于9月14日首发申请上会。据悉，飞南资源是一家覆盖危险废物收集、无害化处置、资源回收利用的环保企业。公司主要从事危险废物处置业务及再生资源回收利用业务，通过多年实践积累现已发展成为我国危废产业重要企业之一。公司依托强大的处置能力、适应性高的处置技术、长期积累的危废收集网络，已成为行业领跑者和标准制定者。</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危废产业已成环保经济新蓝海</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众所周知，危废的处理和利用一直都是世界各国需要解决的问题，做好危废的回收再利用不仅可以做到节约资源，而且能大幅减轻对环境的污染，传统的危废处理技术(填埋、焚烧等)，也越来越不符合我国国情。据了解，我国危废处置行业起步较晚，虽然近年来我国将环保工作作为工作重心之一，颁布了一系列产业政策大力支持危废处置行业的发展，企业在此背景下也不断提升技术水平、提高经营能力，但我国危废处置行业整体发展水平与国外先进水平仍存在一定差距。由于危废处置涉及粗炼、精炼、电解、萃取、蒸馏等多重工艺，属于技术复合型行业，且危废具有危险性，处置过程更需避免安全事故、防范二次污染。专业的危废处置技术能够提升危废资源化效率、降低处置过程的二次产废量。行业内企业需经过多年的一线生产经验积累和技术探索，才能形成一整套高效、节能且环保达标的处置技术体系，行业技术门槛较高。目前，我国正处于经济转型升级的大背景下，推动绿色经济发展既是底线,也是转型升级的“高线”。大力开展二次资源回收利用，提高资源利用效率，保护环境，是缔造绿色节约型社会的重要内容之一。近些年来，国家陆续地出台了相关政策法律来鼓励居民进行资源回收，提高再生资源交易的便捷度和灵活度，从而推进生活方式向绿色环保的方向发展。然而，我国是铜的消费大国储量有限，为了解决国内铜资源的短缺问题，废铜再生利用为满足我国铜消费需求做出了重要贡献，经过多年发展，我国再生铜产业已经形成了“回收-拆解-加工利用”的一条完整产业链。2021年7月，国务院发布《“十四五”循环经济发展规划》，要求到2025年再生有色金属产量达到2000万吨，其中再生铜产量达到400万吨。近年来，废铜进口政策日趋严格，受禁止洋垃圾入境政策影响，及国内精矿冶炼产能的不断扩张，我国废铜进口数量持续下跌。2021年废铜自由进口政策的顺利落地，积极推动国内废铜进口贸易商进口积极性;同时铜价的大幅上涨，极大刺激全球废铜供货商出货积极性。此外，国内需求的推动，新增产能较大，叠加国内废铜供给一直处于紧张局面，推动国内废铜价格走高，吸引海外废铜货源的流入。2021年废铜进口约169万吨，同比增加75万吨，涨幅达79.79%。而根据“十四五”发展规划，要求支持绿色技术创新，推进重点行业和重要领域绿色化改造，全面提高资源利用效率，推行垃圾分类和减量化、资源化，加快构建废旧物资循环利用体系，其发展规划在一定程度上促进了再生资源行业的持续向前。近几年来，国家为了鼓励居民进行资源回收，陆续地出台了一系列政策，并指出要以推进转变发展方式的方针和促进转型升级为主线，明确再生资源回收运营模式，转变发展方向为集约型，随着供给侧政策的改进，“十四五”期间对再生资源利用率的提升要求带动了行业健康化发展，拉动行业整体产值提升。</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创新技术搭建产业链 绿色发展构建新格局</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资料显示，飞南资源是华南地区规模最大的金属资源综合利用环保高科企业、是国家高新技术企业、广东省民营科技企业、广东省清洁生产示范企业。公司产品标准阴极铜，镍泥等多项产品被认定为广东省名牌产品，公司“飞南”商标是广东省著名商标。目前公司建立了成熟高效的危、固废协同处理生产系统，拥有一整套从收集、转运、预处理、处置、资源化产品生产和销售的完善业务体系，在危固废收集，处置领域积淀了强大的技术实力和运营经验。公司拥有省级企业技术中心，广东省工业固废含铜污泥资源综合利用工程技术研究中心，拥有处于行业领先水平的富氧侧吹熔池熔炼、全氧燃烧精炼技术及装备，全面采用最新的再生处置技术，环保治理设施，属国内行业技术标杆企业。公司现有自主知识专利20多项，各类管理技术人才上百余人，同时与中南大学、昆明理工大学、中国恩菲公司、中国瑞林公司、江西铜业、云南铜业、大冶有色、云南锡业等国内知名科研院校、优势企业建立了广泛的合作关系。招股书显示，2019年至2021年，飞南资源营业收入分别为42.80亿元、48.28亿元和78.99亿元，净利润分别为5.37亿元、5.89亿元和7.13亿元，营收与净利润皆呈现稳步增长态势。由此可见，飞南资源近年来的发展如日中天，营业收入与净利润双双进入了高速发展期，现阶段选择创业板IPO之路，也将为未来的发展起到促进性作用。值得一提的是，飞南资源在2019年度广东省环境服务业统计口径内30强排名第七和危险废物治理细分领域10强的企业名单中排名第三。以技术创新为核心赋能企业健康发展筑危废利用领先企业危废性质复杂、危险性高，处置不当易造成二次污染。飞南资源坚持科技创新，淘汰落后技术，始终把技术创新视为企业实现高质量可持续发展的命脉。报告期内，公司研发支出分别为8732.83万元、10471.13万元和21218.26万元，研发投入持续翻倍增长。截至2021年末，公司已形成含铜污泥低能耗生产电解铜技术、铜平衡危固废配料技术、富氧侧吹还原熔炼技术、稀氧燃烧火法精炼技术、低品位黑铜电解技术等工艺技术、多金属回收利用技术等工艺技术。</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环保政策持续优化危废产业高速发展</w:t>
      </w:r>
    </w:p>
    <w:p>
      <w:bookmarkStart w:id="0" w:name="_GoBack"/>
      <w:bookmarkEnd w:id="0"/>
      <w:r>
        <w:rPr>
          <w:rFonts w:ascii="宋体" w:hAnsi="宋体" w:eastAsia="宋体" w:cs="宋体"/>
          <w:sz w:val="24"/>
          <w:szCs w:val="24"/>
          <w:bdr w:val="none" w:color="auto" w:sz="0" w:space="0"/>
        </w:rPr>
        <w:t>不仅如此，飞南资源对于未来发展目标相当清晰。例如，在拓展危险废物处置利用市场方面：公司已于2019年取得新增25万吨的危废处置资质，江西兴南于2021年取得10万吨的危废处置资质，公司处置能力由26.5万吨增长至61.5万吨。同时，公司已建立了“以广东为中心，立足华南，辐射全国”的区域发展目标，提前布局各省市危废收集处理项目，规划了三至五年处置资质与能力增长的计划。其中，江西巴顿作为本次发行募投项目实施主体，以及公司战略布局中的示范性生产基地，已开工建设;其余处置基地均已取得环评批复，预计未来三年，随着上述生产基地逐步投入使用，公司危废处置能力将得到有效提高，危废处置规模将从现有的61.5万吨/年提升至111.06万吨/年。此外，在环保趋严背景下，危废处置市场广阔：危废的处置需求与工业生产、国民环保意识直接相关。经济和工业发展带来产废量自然增长的同时，日益趋严的环保督察也是产废量增长的一大驱动力。短期来看，环保督查、清废行动2018、第二次全国污染源普查等，均使大量违规贮存危废回归合法处置，促进危废处置存量隐性需求释放。长期来看，排污许可制度、环保税及规范化管理考核等，将形成常态化政策性制度，预计危险废物处置行业将在较长一段时间内保持快速增长和较高的景气度。然而，当前我国危废处置行业集中度相对较低，大部分小型危废处置企业技术、资金、研发能力较弱，处置资质单一，在环保严监管的大背景下，竞争压力较大。大型危废处置利用企业则凭借规模化的处置能力、规范化的处置服务，在市场中逐步凸显竞争优势。正因如此，飞南资源的市场发展前景将会再上一个台阶，毕竟绿色环保的经济发展理念已成中国乃至全球主要经济体最重要的发展方向之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20CC6B54"/>
    <w:rsid w:val="20CC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2022-11-24T13:29:00Z</dcterms:created>
  <dc:creator>江红</dc:creator>
  <cp:lastModifiedBy>江红</cp:lastModifiedBy>
  <dcterms:modified xsi:type="dcterms:W3CDTF">2022-11-24T13:30:06Z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312830C30B204BCFB9A9CE222AAC5941</vt:lpwstr>
  </property>
</Properties>
</file>